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FE390">
      <w:pPr>
        <w:spacing w:line="560" w:lineRule="exact"/>
        <w:rPr>
          <w:rFonts w:ascii="Times New Roman" w:hAnsi="Times New Roman" w:eastAsia="黑体" w:cs="Times New Roman"/>
          <w:sz w:val="32"/>
          <w:szCs w:val="32"/>
        </w:rPr>
      </w:pPr>
      <w:r>
        <w:rPr>
          <w:rFonts w:hint="default" w:ascii="Times New Roman" w:hAnsi="Times New Roman" w:eastAsia="黑体" w:cs="Times New Roman"/>
          <w:sz w:val="32"/>
          <w:szCs w:val="32"/>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hint="default" w:ascii="Times New Roman" w:hAnsi="Times New Roman" w:eastAsia="黑体" w:cs="Times New Roman"/>
          <w:sz w:val="32"/>
          <w:szCs w:val="32"/>
        </w:rPr>
        <w:instrText xml:space="preserve">ADDIN CNKISM.UserStyle</w:instrText>
      </w:r>
      <w:r>
        <w:rPr>
          <w:rFonts w:hint="default" w:ascii="Times New Roman" w:hAnsi="Times New Roman" w:eastAsia="黑体" w:cs="Times New Roman"/>
          <w:sz w:val="32"/>
          <w:szCs w:val="32"/>
        </w:rPr>
        <w:fldChar w:fldCharType="end"/>
      </w:r>
      <w:r>
        <w:rPr>
          <w:rFonts w:hint="default" w:ascii="Times New Roman" w:hAnsi="Times New Roman" w:eastAsia="黑体" w:cs="Times New Roman"/>
          <w:sz w:val="32"/>
          <w:szCs w:val="32"/>
        </w:rPr>
        <w:t>附件1</w:t>
      </w:r>
    </w:p>
    <w:p w14:paraId="4B6A5537">
      <w:pPr>
        <w:spacing w:line="560" w:lineRule="exact"/>
        <w:jc w:val="center"/>
        <w:rPr>
          <w:rFonts w:ascii="Times New Roman" w:hAnsi="Times New Roman" w:eastAsia="方正小标宋简体" w:cs="Times New Roman"/>
          <w:bCs/>
          <w:sz w:val="44"/>
          <w:szCs w:val="44"/>
        </w:rPr>
      </w:pPr>
    </w:p>
    <w:p w14:paraId="698D22EC">
      <w:pPr>
        <w:spacing w:line="560" w:lineRule="exact"/>
        <w:jc w:val="center"/>
        <w:rPr>
          <w:rFonts w:ascii="Times New Roman" w:hAnsi="Times New Roman" w:eastAsia="方正小标宋简体" w:cs="Times New Roman"/>
          <w:b w:val="0"/>
          <w:bCs/>
          <w:sz w:val="44"/>
          <w:szCs w:val="44"/>
        </w:rPr>
      </w:pPr>
      <w:r>
        <w:rPr>
          <w:rFonts w:hint="default" w:ascii="Times New Roman" w:hAnsi="Times New Roman" w:eastAsia="方正小标宋简体" w:cs="Times New Roman"/>
          <w:b w:val="0"/>
          <w:bCs/>
          <w:sz w:val="44"/>
          <w:szCs w:val="44"/>
        </w:rPr>
        <w:t>外国语学院硕士生导师岗位资格年审</w:t>
      </w:r>
    </w:p>
    <w:p w14:paraId="2106C70C">
      <w:pPr>
        <w:spacing w:line="560" w:lineRule="exact"/>
        <w:jc w:val="center"/>
        <w:rPr>
          <w:rFonts w:ascii="Times New Roman" w:hAnsi="Times New Roman" w:eastAsia="方正小标宋简体" w:cs="Times New Roman"/>
          <w:b w:val="0"/>
          <w:bCs/>
          <w:sz w:val="44"/>
          <w:szCs w:val="44"/>
        </w:rPr>
      </w:pPr>
      <w:r>
        <w:rPr>
          <w:rFonts w:hint="default" w:ascii="Times New Roman" w:hAnsi="Times New Roman" w:eastAsia="方正小标宋简体" w:cs="Times New Roman"/>
          <w:b w:val="0"/>
          <w:bCs/>
          <w:sz w:val="44"/>
          <w:szCs w:val="44"/>
        </w:rPr>
        <w:t>实施细则</w:t>
      </w:r>
    </w:p>
    <w:p w14:paraId="4BD953C5">
      <w:pPr>
        <w:pStyle w:val="2"/>
        <w:spacing w:line="560" w:lineRule="exact"/>
        <w:rPr>
          <w:rFonts w:ascii="Times New Roman" w:hAnsi="Times New Roman"/>
        </w:rPr>
      </w:pPr>
    </w:p>
    <w:p w14:paraId="2BD2FA06">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根据贵州大学研究生院《关于开展</w:t>
      </w:r>
      <w:r>
        <w:rPr>
          <w:rFonts w:ascii="Times New Roman" w:hAnsi="Times New Roman" w:eastAsia="仿宋_GB2312" w:cs="Times New Roman"/>
          <w:sz w:val="32"/>
          <w:szCs w:val="32"/>
        </w:rPr>
        <w:t>2025</w:t>
      </w:r>
      <w:r>
        <w:rPr>
          <w:rFonts w:hint="default" w:ascii="Times New Roman" w:hAnsi="Times New Roman" w:eastAsia="仿宋_GB2312" w:cs="Times New Roman"/>
          <w:sz w:val="32"/>
          <w:szCs w:val="32"/>
        </w:rPr>
        <w:t>年度硕士研究生导师资格审核工作的通知》（</w:t>
      </w:r>
      <w:r>
        <w:rPr>
          <w:rFonts w:ascii="Times New Roman" w:hAnsi="Times New Roman" w:eastAsia="仿宋_GB2312" w:cs="Times New Roman"/>
          <w:sz w:val="32"/>
          <w:szCs w:val="32"/>
        </w:rPr>
        <w:t>贵大研</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2025</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18号</w:t>
      </w:r>
      <w:r>
        <w:rPr>
          <w:rFonts w:hint="default" w:ascii="Times New Roman" w:hAnsi="Times New Roman" w:eastAsia="仿宋_GB2312" w:cs="Times New Roman"/>
          <w:sz w:val="32"/>
          <w:szCs w:val="32"/>
        </w:rPr>
        <w:t>）文件要求，我院硕士生导师实行资格年审制。现结合我院实际情况，制定硕士生导师招生资格年审实施细则。</w:t>
      </w:r>
      <w:r>
        <w:rPr>
          <w:rFonts w:hint="default" w:ascii="Times New Roman" w:hAnsi="Times New Roman" w:eastAsia="仿宋_GB2312" w:cs="Times New Roman"/>
          <w:sz w:val="32"/>
          <w:szCs w:val="32"/>
        </w:rPr>
        <w:t>内容如下：</w:t>
      </w:r>
    </w:p>
    <w:p w14:paraId="6D1186CD">
      <w:pPr>
        <w:pStyle w:val="7"/>
        <w:numPr>
          <w:ilvl w:val="0"/>
          <w:numId w:val="0"/>
        </w:numPr>
        <w:spacing w:line="560" w:lineRule="exact"/>
        <w:ind w:left="0" w:firstLine="643" w:firstLineChars="200"/>
        <w:rPr>
          <w:rFonts w:ascii="Times New Roman" w:hAnsi="Times New Roman" w:eastAsia="黑体" w:cs="Times New Roman"/>
          <w:b/>
          <w:bCs/>
          <w:sz w:val="32"/>
          <w:szCs w:val="32"/>
        </w:rPr>
      </w:pPr>
      <w:r>
        <w:rPr>
          <w:rFonts w:hint="default" w:ascii="Times New Roman" w:hAnsi="Times New Roman" w:eastAsia="黑体" w:cs="Times New Roman"/>
          <w:b/>
          <w:bCs/>
          <w:sz w:val="32"/>
          <w:szCs w:val="32"/>
        </w:rPr>
        <w:t>一、</w:t>
      </w:r>
      <w:r>
        <w:rPr>
          <w:rFonts w:hint="default" w:ascii="Times New Roman" w:hAnsi="Times New Roman" w:eastAsia="黑体" w:cs="Times New Roman"/>
          <w:b/>
          <w:bCs/>
          <w:sz w:val="32"/>
          <w:szCs w:val="32"/>
        </w:rPr>
        <w:t>岗位基本要求</w:t>
      </w:r>
    </w:p>
    <w:p w14:paraId="436D8808">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（一）研究生导师</w:t>
      </w:r>
      <w:r>
        <w:rPr>
          <w:rFonts w:hint="default" w:ascii="Times New Roman" w:hAnsi="Times New Roman" w:eastAsia="仿宋_GB2312" w:cs="Times New Roman"/>
          <w:sz w:val="32"/>
          <w:szCs w:val="32"/>
        </w:rPr>
        <w:t>须</w:t>
      </w:r>
      <w:r>
        <w:rPr>
          <w:rFonts w:hint="default" w:ascii="Times New Roman" w:hAnsi="Times New Roman" w:eastAsia="仿宋_GB2312" w:cs="Times New Roman"/>
          <w:sz w:val="32"/>
          <w:szCs w:val="32"/>
        </w:rPr>
        <w:t>坚持以习近平新时代中国特色社会主义思想为指导，拥护中国共产党的领导，贯彻党的教育方针。导师作为研究生培养的第一责任人，肩负着为党育人、为国育才的重要使命，具备对研究生进行思想政治教育、学术规范训练、创新能力培养、社会实践引导等基本导师能力。</w:t>
      </w:r>
    </w:p>
    <w:p w14:paraId="5C9F7CA9">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（二）近三年在拟申请岗位学科或学位点指导的研究生学位论文未出现质量问题，未出现</w:t>
      </w:r>
      <w:r>
        <w:rPr>
          <w:rFonts w:hint="default" w:ascii="Times New Roman" w:hAnsi="Times New Roman" w:eastAsia="仿宋_GB2312" w:cs="Times New Roman"/>
          <w:sz w:val="32"/>
          <w:szCs w:val="32"/>
        </w:rPr>
        <w:t>意识形态、</w:t>
      </w:r>
      <w:r>
        <w:rPr>
          <w:rFonts w:hint="default" w:ascii="Times New Roman" w:hAnsi="Times New Roman" w:eastAsia="仿宋_GB2312" w:cs="Times New Roman"/>
          <w:sz w:val="32"/>
          <w:szCs w:val="32"/>
        </w:rPr>
        <w:t>教学、科研等方面事故。</w:t>
      </w:r>
    </w:p>
    <w:p w14:paraId="2DDC3D22">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（三）符合下列条件的导师均可进行硕导岗位申请：</w:t>
      </w:r>
    </w:p>
    <w:p w14:paraId="7D768C06">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default" w:ascii="Times New Roman" w:hAnsi="Times New Roman" w:eastAsia="仿宋_GB2312" w:cs="Times New Roman"/>
          <w:sz w:val="32"/>
          <w:szCs w:val="32"/>
        </w:rPr>
        <w:t>.具有副高及以上职称（包括一流学科特岗人才、享受校聘副教授待遇不超过</w:t>
      </w:r>
      <w:r>
        <w:rPr>
          <w:rFonts w:ascii="Times New Roman" w:hAnsi="Times New Roman" w:eastAsia="仿宋_GB2312" w:cs="Times New Roman"/>
          <w:sz w:val="32"/>
          <w:szCs w:val="32"/>
        </w:rPr>
        <w:t>3</w:t>
      </w:r>
      <w:r>
        <w:rPr>
          <w:rFonts w:hint="default" w:ascii="Times New Roman" w:hAnsi="Times New Roman" w:eastAsia="仿宋_GB2312" w:cs="Times New Roman"/>
          <w:sz w:val="32"/>
          <w:szCs w:val="32"/>
        </w:rPr>
        <w:t>年（含）的教师）。</w:t>
      </w:r>
    </w:p>
    <w:p w14:paraId="48F91708">
      <w:pPr>
        <w:spacing w:line="560" w:lineRule="exact"/>
        <w:ind w:firstLine="640" w:firstLineChars="200"/>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default" w:ascii="Times New Roman" w:hAnsi="Times New Roman" w:eastAsia="仿宋_GB2312" w:cs="Times New Roman"/>
          <w:sz w:val="32"/>
          <w:szCs w:val="32"/>
        </w:rPr>
        <w:t>.近三年以第一作者或通讯作者在SCD/SCDW来源期刊数据库收录刊物上发表与专业相关学术论文</w:t>
      </w:r>
      <w:r>
        <w:rPr>
          <w:rFonts w:ascii="Times New Roman" w:hAnsi="Times New Roman" w:eastAsia="仿宋_GB2312" w:cs="Times New Roman"/>
          <w:sz w:val="32"/>
          <w:szCs w:val="32"/>
        </w:rPr>
        <w:t>2</w:t>
      </w:r>
      <w:r>
        <w:rPr>
          <w:rFonts w:hint="default" w:ascii="Times New Roman" w:hAnsi="Times New Roman" w:eastAsia="仿宋_GB2312" w:cs="Times New Roman"/>
          <w:sz w:val="32"/>
          <w:szCs w:val="32"/>
        </w:rPr>
        <w:t>篇；或核心期刊</w:t>
      </w:r>
      <w:r>
        <w:rPr>
          <w:rFonts w:ascii="Times New Roman" w:hAnsi="Times New Roman" w:eastAsia="仿宋_GB2312" w:cs="Times New Roman"/>
          <w:sz w:val="32"/>
          <w:szCs w:val="32"/>
        </w:rPr>
        <w:t>1</w:t>
      </w:r>
      <w:r>
        <w:rPr>
          <w:rFonts w:hint="default" w:ascii="Times New Roman" w:hAnsi="Times New Roman" w:eastAsia="仿宋_GB2312" w:cs="Times New Roman"/>
          <w:sz w:val="32"/>
          <w:szCs w:val="32"/>
        </w:rPr>
        <w:t>篇；或独立/以第一作者出版专著/译著（不少于</w:t>
      </w:r>
      <w:r>
        <w:rPr>
          <w:rFonts w:ascii="Times New Roman" w:hAnsi="Times New Roman" w:eastAsia="仿宋_GB2312" w:cs="Times New Roman"/>
          <w:sz w:val="32"/>
          <w:szCs w:val="32"/>
        </w:rPr>
        <w:t>15</w:t>
      </w:r>
      <w:r>
        <w:rPr>
          <w:rFonts w:hint="default" w:ascii="Times New Roman" w:hAnsi="Times New Roman" w:eastAsia="仿宋_GB2312" w:cs="Times New Roman"/>
          <w:sz w:val="32"/>
          <w:szCs w:val="32"/>
        </w:rPr>
        <w:t>万字）至少</w:t>
      </w:r>
      <w:r>
        <w:rPr>
          <w:rFonts w:ascii="Times New Roman" w:hAnsi="Times New Roman" w:eastAsia="仿宋_GB2312" w:cs="Times New Roman"/>
          <w:sz w:val="32"/>
          <w:szCs w:val="32"/>
        </w:rPr>
        <w:t>1</w:t>
      </w:r>
      <w:r>
        <w:rPr>
          <w:rFonts w:hint="default" w:ascii="Times New Roman" w:hAnsi="Times New Roman" w:eastAsia="仿宋_GB2312" w:cs="Times New Roman"/>
          <w:sz w:val="32"/>
          <w:szCs w:val="32"/>
        </w:rPr>
        <w:t>部；或主编出版国家级规划教材至少</w:t>
      </w:r>
      <w:r>
        <w:rPr>
          <w:rFonts w:ascii="Times New Roman" w:hAnsi="Times New Roman" w:eastAsia="仿宋_GB2312" w:cs="Times New Roman"/>
          <w:sz w:val="32"/>
          <w:szCs w:val="32"/>
        </w:rPr>
        <w:t>1</w:t>
      </w:r>
      <w:r>
        <w:rPr>
          <w:rFonts w:hint="default" w:ascii="Times New Roman" w:hAnsi="Times New Roman" w:eastAsia="仿宋_GB2312" w:cs="Times New Roman"/>
          <w:sz w:val="32"/>
          <w:szCs w:val="32"/>
        </w:rPr>
        <w:t>部。</w:t>
      </w:r>
    </w:p>
    <w:p w14:paraId="3E5BD817">
      <w:pPr>
        <w:spacing w:line="560" w:lineRule="exact"/>
        <w:ind w:firstLine="640" w:firstLineChars="200"/>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default" w:ascii="Times New Roman" w:hAnsi="Times New Roman" w:eastAsia="仿宋_GB2312" w:cs="Times New Roman"/>
          <w:sz w:val="32"/>
          <w:szCs w:val="32"/>
        </w:rPr>
        <w:t>.近三年主持校级及以上课题，并有在研课题。</w:t>
      </w:r>
    </w:p>
    <w:p w14:paraId="463DBE53">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（四）满足以下条件之一的导师，学术型硕导可在</w:t>
      </w:r>
      <w:r>
        <w:rPr>
          <w:rFonts w:ascii="Times New Roman" w:hAnsi="Times New Roman" w:eastAsia="仿宋_GB2312" w:cs="Times New Roman"/>
          <w:sz w:val="32"/>
          <w:szCs w:val="32"/>
        </w:rPr>
        <w:t>1</w:t>
      </w:r>
      <w:r>
        <w:rPr>
          <w:rFonts w:hint="default" w:ascii="Times New Roman" w:hAnsi="Times New Roman" w:eastAsia="仿宋_GB2312" w:cs="Times New Roman"/>
          <w:sz w:val="32"/>
          <w:szCs w:val="32"/>
        </w:rPr>
        <w:t>个一级学科硕士授权点下的</w:t>
      </w:r>
      <w:r>
        <w:rPr>
          <w:rFonts w:ascii="Times New Roman" w:hAnsi="Times New Roman" w:eastAsia="仿宋_GB2312" w:cs="Times New Roman"/>
          <w:sz w:val="32"/>
          <w:szCs w:val="32"/>
        </w:rPr>
        <w:t>2</w:t>
      </w:r>
      <w:r>
        <w:rPr>
          <w:rFonts w:hint="default" w:ascii="Times New Roman" w:hAnsi="Times New Roman" w:eastAsia="仿宋_GB2312" w:cs="Times New Roman"/>
          <w:sz w:val="32"/>
          <w:szCs w:val="32"/>
        </w:rPr>
        <w:t>个二级学科/方向申请硕导岗位，专业型硕导可在</w:t>
      </w:r>
      <w:r>
        <w:rPr>
          <w:rFonts w:ascii="Times New Roman" w:hAnsi="Times New Roman" w:eastAsia="仿宋_GB2312" w:cs="Times New Roman"/>
          <w:sz w:val="32"/>
          <w:szCs w:val="32"/>
        </w:rPr>
        <w:t>1</w:t>
      </w:r>
      <w:r>
        <w:rPr>
          <w:rFonts w:hint="default" w:ascii="Times New Roman" w:hAnsi="Times New Roman" w:eastAsia="仿宋_GB2312" w:cs="Times New Roman"/>
          <w:sz w:val="32"/>
          <w:szCs w:val="32"/>
        </w:rPr>
        <w:t>个专业硕士学位类别下的</w:t>
      </w:r>
      <w:r>
        <w:rPr>
          <w:rFonts w:ascii="Times New Roman" w:hAnsi="Times New Roman" w:eastAsia="仿宋_GB2312" w:cs="Times New Roman"/>
          <w:sz w:val="32"/>
          <w:szCs w:val="32"/>
        </w:rPr>
        <w:t>2</w:t>
      </w:r>
      <w:r>
        <w:rPr>
          <w:rFonts w:hint="default" w:ascii="Times New Roman" w:hAnsi="Times New Roman" w:eastAsia="仿宋_GB2312" w:cs="Times New Roman"/>
          <w:sz w:val="32"/>
          <w:szCs w:val="32"/>
        </w:rPr>
        <w:t>个领域申请硕导岗位：</w:t>
      </w:r>
    </w:p>
    <w:p w14:paraId="3F91F4D2">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ascii="Times New Roman" w:hAnsi="Times New Roman" w:eastAsia="仿宋_GB2312" w:cs="Times New Roman"/>
          <w:sz w:val="32"/>
          <w:szCs w:val="32"/>
        </w:rPr>
        <w:t>1</w:t>
      </w:r>
      <w:r>
        <w:rPr>
          <w:rFonts w:hint="default" w:ascii="Times New Roman" w:hAnsi="Times New Roman" w:eastAsia="仿宋_GB2312" w:cs="Times New Roman"/>
          <w:sz w:val="32"/>
          <w:szCs w:val="32"/>
        </w:rPr>
        <w:t>.近三年，第一作者或第一通讯作者发表C刊（不含扩展版）、SSCI论文（只认可发表在CNS和中国社会科学的论文中排名靠后共同通讯作者/共同一作）。</w:t>
      </w:r>
    </w:p>
    <w:p w14:paraId="0FA9078C">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ascii="Times New Roman" w:hAnsi="Times New Roman" w:eastAsia="仿宋_GB2312" w:cs="Times New Roman"/>
          <w:sz w:val="32"/>
          <w:szCs w:val="32"/>
        </w:rPr>
        <w:t>2</w:t>
      </w:r>
      <w:r>
        <w:rPr>
          <w:rFonts w:hint="default" w:ascii="Times New Roman" w:hAnsi="Times New Roman" w:eastAsia="仿宋_GB2312" w:cs="Times New Roman"/>
          <w:sz w:val="32"/>
          <w:szCs w:val="32"/>
        </w:rPr>
        <w:t>.主持并在研国家社科基金</w:t>
      </w:r>
      <w:r>
        <w:rPr>
          <w:rFonts w:hint="eastAsia" w:ascii="Times New Roman" w:hAnsi="Times New Roman" w:eastAsia="仿宋_GB2312" w:cs="Times New Roman"/>
          <w:sz w:val="32"/>
          <w:szCs w:val="32"/>
        </w:rPr>
        <w:t>等</w:t>
      </w:r>
      <w:r>
        <w:rPr>
          <w:rFonts w:hint="default" w:ascii="Times New Roman" w:hAnsi="Times New Roman" w:eastAsia="仿宋_GB2312" w:cs="Times New Roman"/>
          <w:sz w:val="32"/>
          <w:szCs w:val="32"/>
        </w:rPr>
        <w:t>国家级项目。</w:t>
      </w:r>
    </w:p>
    <w:p w14:paraId="6EEC8FED">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ascii="Times New Roman" w:hAnsi="Times New Roman" w:eastAsia="仿宋_GB2312" w:cs="Times New Roman"/>
          <w:sz w:val="32"/>
          <w:szCs w:val="32"/>
        </w:rPr>
        <w:t>3</w:t>
      </w:r>
      <w:r>
        <w:rPr>
          <w:rFonts w:hint="default" w:ascii="Times New Roman" w:hAnsi="Times New Roman" w:eastAsia="仿宋_GB2312" w:cs="Times New Roman"/>
          <w:sz w:val="32"/>
          <w:szCs w:val="32"/>
        </w:rPr>
        <w:t>.作为排名第一的指导教师，指导学生参加“挑战杯”、“互联网+”、“研究生创新系列大赛”以及教育部认可的全国普通高校大学生竞赛榜单中竞赛并获国家级二等奖及以上奖项。</w:t>
      </w:r>
    </w:p>
    <w:p w14:paraId="7631AB04">
      <w:pPr>
        <w:spacing w:line="560" w:lineRule="exact"/>
        <w:ind w:firstLine="643" w:firstLineChars="200"/>
        <w:jc w:val="left"/>
        <w:rPr>
          <w:rFonts w:hint="eastAsia" w:ascii="黑体" w:hAnsi="黑体" w:eastAsia="黑体"/>
          <w:b/>
          <w:bCs/>
          <w:sz w:val="32"/>
          <w:szCs w:val="32"/>
        </w:rPr>
      </w:pPr>
      <w:r>
        <w:rPr>
          <w:rFonts w:hint="default" w:ascii="黑体" w:hAnsi="黑体" w:eastAsia="黑体"/>
          <w:b/>
          <w:bCs/>
          <w:sz w:val="32"/>
          <w:szCs w:val="32"/>
        </w:rPr>
        <w:t>二、工作程序</w:t>
      </w:r>
    </w:p>
    <w:p w14:paraId="7B0C865E">
      <w:pPr>
        <w:spacing w:line="560" w:lineRule="exact"/>
        <w:ind w:firstLine="640" w:firstLineChars="200"/>
        <w:jc w:val="left"/>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（一）学院根据学校要求每年发布硕士生导师岗位条件、实施细则及启动申报通知。</w:t>
      </w:r>
    </w:p>
    <w:p w14:paraId="2348B018">
      <w:pPr>
        <w:autoSpaceDN w:val="0"/>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（二）申</w:t>
      </w:r>
      <w:bookmarkStart w:id="0" w:name="_GoBack"/>
      <w:bookmarkEnd w:id="0"/>
      <w:r>
        <w:rPr>
          <w:rFonts w:hint="default" w:ascii="Times New Roman" w:hAnsi="Times New Roman" w:eastAsia="仿宋_GB2312" w:cs="Times New Roman"/>
          <w:sz w:val="32"/>
          <w:szCs w:val="32"/>
        </w:rPr>
        <w:t>请人须每年根据通知要求向学院研究生科提出申请，提供支撑材料由学院硕士点建设工作领导小组审核，提交学位评定分委员会表决，学院对表决结果进行公示（不少于</w:t>
      </w:r>
      <w:r>
        <w:rPr>
          <w:rFonts w:ascii="Times New Roman" w:hAnsi="Times New Roman" w:eastAsia="仿宋_GB2312" w:cs="Times New Roman"/>
          <w:sz w:val="32"/>
          <w:szCs w:val="32"/>
        </w:rPr>
        <w:t>3</w:t>
      </w:r>
      <w:r>
        <w:rPr>
          <w:rFonts w:hint="default" w:ascii="Times New Roman" w:hAnsi="Times New Roman" w:eastAsia="仿宋_GB2312" w:cs="Times New Roman"/>
          <w:sz w:val="32"/>
          <w:szCs w:val="32"/>
        </w:rPr>
        <w:t>个工作日），无异议后汇总上报</w:t>
      </w:r>
      <w:r>
        <w:rPr>
          <w:rFonts w:hint="eastAsia" w:ascii="Times New Roman" w:hAnsi="Times New Roman" w:eastAsia="仿宋_GB2312" w:cs="Times New Roman"/>
          <w:sz w:val="32"/>
          <w:szCs w:val="32"/>
        </w:rPr>
        <w:t>学</w:t>
      </w:r>
      <w:r>
        <w:rPr>
          <w:rFonts w:hint="default" w:ascii="Times New Roman" w:hAnsi="Times New Roman" w:eastAsia="仿宋_GB2312" w:cs="Times New Roman"/>
          <w:sz w:val="32"/>
          <w:szCs w:val="32"/>
        </w:rPr>
        <w:t>校研究生院学科建设办公室备案，支撑材料由学院研究生科保存备查。</w:t>
      </w:r>
    </w:p>
    <w:p w14:paraId="1A8AE7B2">
      <w:pPr>
        <w:autoSpaceDN w:val="0"/>
        <w:spacing w:line="560" w:lineRule="exact"/>
        <w:ind w:firstLine="803" w:firstLineChars="250"/>
        <w:rPr>
          <w:rFonts w:ascii="Times New Roman" w:hAnsi="Times New Roman" w:eastAsia="黑体" w:cs="Times New Roman"/>
          <w:b/>
          <w:bCs/>
          <w:sz w:val="32"/>
          <w:szCs w:val="32"/>
        </w:rPr>
      </w:pPr>
      <w:r>
        <w:rPr>
          <w:rFonts w:hint="default" w:ascii="Times New Roman" w:hAnsi="Times New Roman" w:eastAsia="黑体" w:cs="Times New Roman"/>
          <w:b/>
          <w:bCs/>
          <w:sz w:val="32"/>
          <w:szCs w:val="32"/>
        </w:rPr>
        <w:t>三、其他说明</w:t>
      </w:r>
    </w:p>
    <w:p w14:paraId="1AA3880D">
      <w:pPr>
        <w:autoSpaceDN w:val="0"/>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（一）申请人如在申请过程中提供虚假信息，一经查实，取消其导师岗位申请资格，</w:t>
      </w:r>
      <w:r>
        <w:rPr>
          <w:rFonts w:ascii="Times New Roman" w:hAnsi="Times New Roman" w:eastAsia="仿宋_GB2312" w:cs="Times New Roman"/>
          <w:sz w:val="32"/>
          <w:szCs w:val="32"/>
        </w:rPr>
        <w:t>5</w:t>
      </w:r>
      <w:r>
        <w:rPr>
          <w:rFonts w:hint="default" w:ascii="Times New Roman" w:hAnsi="Times New Roman" w:eastAsia="仿宋_GB2312" w:cs="Times New Roman"/>
          <w:sz w:val="32"/>
          <w:szCs w:val="32"/>
        </w:rPr>
        <w:t>年内不得再申请。</w:t>
      </w:r>
    </w:p>
    <w:p w14:paraId="28DFCB2A">
      <w:pPr>
        <w:autoSpaceDN w:val="0"/>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（二）</w:t>
      </w:r>
      <w:r>
        <w:rPr>
          <w:rFonts w:ascii="Times New Roman" w:hAnsi="Times New Roman" w:eastAsia="仿宋_GB2312" w:cs="Times New Roman"/>
          <w:sz w:val="32"/>
          <w:szCs w:val="32"/>
        </w:rPr>
        <w:t>2024</w:t>
      </w:r>
      <w:r>
        <w:rPr>
          <w:rFonts w:hint="default" w:ascii="Times New Roman" w:hAnsi="Times New Roman" w:eastAsia="仿宋_GB2312" w:cs="Times New Roman"/>
          <w:sz w:val="32"/>
          <w:szCs w:val="32"/>
        </w:rPr>
        <w:t>年已遴选并通过外国语言文学一级学科硕士点、翻译硕士专业学位硕士点和汉语国际教育专业学位硕士点的硕导，在申请</w:t>
      </w:r>
      <w:r>
        <w:rPr>
          <w:rFonts w:ascii="Times New Roman" w:hAnsi="Times New Roman" w:eastAsia="仿宋_GB2312" w:cs="Times New Roman"/>
          <w:sz w:val="32"/>
          <w:szCs w:val="32"/>
        </w:rPr>
        <w:t>2025</w:t>
      </w:r>
      <w:r>
        <w:rPr>
          <w:rFonts w:hint="default" w:ascii="Times New Roman" w:hAnsi="Times New Roman" w:eastAsia="仿宋_GB2312" w:cs="Times New Roman"/>
          <w:sz w:val="32"/>
          <w:szCs w:val="32"/>
        </w:rPr>
        <w:t>年硕士生导师招生资格时，视为满足基本条件。该项规定仅在</w:t>
      </w:r>
      <w:r>
        <w:rPr>
          <w:rFonts w:ascii="Times New Roman" w:hAnsi="Times New Roman" w:eastAsia="仿宋_GB2312" w:cs="Times New Roman"/>
          <w:sz w:val="32"/>
          <w:szCs w:val="32"/>
        </w:rPr>
        <w:t>2025</w:t>
      </w:r>
      <w:r>
        <w:rPr>
          <w:rFonts w:hint="default" w:ascii="Times New Roman" w:hAnsi="Times New Roman" w:eastAsia="仿宋_GB2312" w:cs="Times New Roman"/>
          <w:sz w:val="32"/>
          <w:szCs w:val="32"/>
        </w:rPr>
        <w:t>年招生资格年审工作中有效。</w:t>
      </w:r>
    </w:p>
    <w:p w14:paraId="62DD023F">
      <w:pPr>
        <w:autoSpaceDN w:val="0"/>
        <w:spacing w:line="56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（三）外国语学院</w:t>
      </w:r>
      <w:r>
        <w:rPr>
          <w:rFonts w:hint="eastAsia" w:ascii="Times New Roman" w:hAnsi="Times New Roman" w:eastAsia="仿宋_GB2312" w:cs="Times New Roman"/>
          <w:color w:val="auto"/>
          <w:sz w:val="32"/>
          <w:szCs w:val="32"/>
          <w:shd w:val="clear" w:color="auto" w:fill="auto"/>
        </w:rPr>
        <w:t>该实施细则</w:t>
      </w:r>
      <w:r>
        <w:rPr>
          <w:rFonts w:ascii="Times New Roman" w:hAnsi="Times New Roman" w:eastAsia="仿宋_GB2312" w:cs="Times New Roman"/>
          <w:color w:val="auto"/>
          <w:sz w:val="32"/>
          <w:szCs w:val="32"/>
          <w:shd w:val="clear" w:color="auto" w:fill="auto"/>
        </w:rPr>
        <w:t>的最终解释权。</w:t>
      </w:r>
    </w:p>
    <w:p w14:paraId="6DEFD9F8">
      <w:pPr>
        <w:spacing w:line="560" w:lineRule="exact"/>
        <w:rPr>
          <w:rFonts w:ascii="Times New Roman" w:hAnsi="Times New Roman" w:eastAsia="仿宋_GB2312" w:cs="Times New Roman"/>
          <w:sz w:val="32"/>
          <w:szCs w:val="32"/>
        </w:rPr>
      </w:pPr>
    </w:p>
    <w:sectPr>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E2NzhmMDQxMjRiZjczZGI1NWFhZmI4YWNjODg4ZjEifQ=="/>
  </w:docVars>
  <w:rsids>
    <w:rsidRoot w:val="008A40D8"/>
    <w:rsid w:val="00076A0A"/>
    <w:rsid w:val="00091FA4"/>
    <w:rsid w:val="000C113F"/>
    <w:rsid w:val="001015AC"/>
    <w:rsid w:val="00103CD6"/>
    <w:rsid w:val="001136B9"/>
    <w:rsid w:val="00185068"/>
    <w:rsid w:val="00221D95"/>
    <w:rsid w:val="003C3AEA"/>
    <w:rsid w:val="003D4CA8"/>
    <w:rsid w:val="0043798A"/>
    <w:rsid w:val="0052752A"/>
    <w:rsid w:val="0057284F"/>
    <w:rsid w:val="005B6990"/>
    <w:rsid w:val="0062562D"/>
    <w:rsid w:val="00644D66"/>
    <w:rsid w:val="006670A1"/>
    <w:rsid w:val="00671CFC"/>
    <w:rsid w:val="00715241"/>
    <w:rsid w:val="00760948"/>
    <w:rsid w:val="007916E2"/>
    <w:rsid w:val="00863186"/>
    <w:rsid w:val="008A40D8"/>
    <w:rsid w:val="008A7BD9"/>
    <w:rsid w:val="00913910"/>
    <w:rsid w:val="009E662A"/>
    <w:rsid w:val="00C23607"/>
    <w:rsid w:val="00F87233"/>
    <w:rsid w:val="057F76AF"/>
    <w:rsid w:val="05D15BA9"/>
    <w:rsid w:val="077566D6"/>
    <w:rsid w:val="08283748"/>
    <w:rsid w:val="0B7A250D"/>
    <w:rsid w:val="0CB53638"/>
    <w:rsid w:val="0DFE5677"/>
    <w:rsid w:val="10AD26CB"/>
    <w:rsid w:val="131D659F"/>
    <w:rsid w:val="1DE20ECA"/>
    <w:rsid w:val="1F674C92"/>
    <w:rsid w:val="232632B5"/>
    <w:rsid w:val="2A3C6EB3"/>
    <w:rsid w:val="2E5047F0"/>
    <w:rsid w:val="2EC94505"/>
    <w:rsid w:val="31437F61"/>
    <w:rsid w:val="351D5B33"/>
    <w:rsid w:val="354E3F3E"/>
    <w:rsid w:val="37A421DA"/>
    <w:rsid w:val="38B575D1"/>
    <w:rsid w:val="39276F80"/>
    <w:rsid w:val="39D90BF4"/>
    <w:rsid w:val="3A0948D8"/>
    <w:rsid w:val="3AB26D1E"/>
    <w:rsid w:val="3AEB408E"/>
    <w:rsid w:val="3B90766A"/>
    <w:rsid w:val="3ED84555"/>
    <w:rsid w:val="40427263"/>
    <w:rsid w:val="428D02FD"/>
    <w:rsid w:val="42DA62DA"/>
    <w:rsid w:val="43CA4243"/>
    <w:rsid w:val="455B61C0"/>
    <w:rsid w:val="45A04342"/>
    <w:rsid w:val="46195760"/>
    <w:rsid w:val="48026EFD"/>
    <w:rsid w:val="4C0B0F4F"/>
    <w:rsid w:val="4CC306FE"/>
    <w:rsid w:val="51195142"/>
    <w:rsid w:val="51314791"/>
    <w:rsid w:val="5A865DA5"/>
    <w:rsid w:val="5BBE50CA"/>
    <w:rsid w:val="5E2A4554"/>
    <w:rsid w:val="62764951"/>
    <w:rsid w:val="65305110"/>
    <w:rsid w:val="6AF503DD"/>
    <w:rsid w:val="6B78718F"/>
    <w:rsid w:val="6DA73C10"/>
    <w:rsid w:val="707F2C23"/>
    <w:rsid w:val="720365B5"/>
    <w:rsid w:val="73EB3CBA"/>
    <w:rsid w:val="76A209B0"/>
    <w:rsid w:val="773109EF"/>
    <w:rsid w:val="77BD1E69"/>
    <w:rsid w:val="77C32BA6"/>
    <w:rsid w:val="78B90C9C"/>
    <w:rsid w:val="7F0936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paragraph" w:styleId="2">
    <w:name w:val="heading 1"/>
    <w:basedOn w:val="1"/>
    <w:next w:val="1"/>
    <w:autoRedefine/>
    <w:qFormat/>
    <w:uiPriority w:val="9"/>
    <w:pPr>
      <w:keepNext/>
      <w:keepLines/>
      <w:spacing w:line="720" w:lineRule="exact"/>
      <w:jc w:val="center"/>
      <w:outlineLvl w:val="0"/>
    </w:pPr>
    <w:rPr>
      <w:rFonts w:ascii="方正小标宋简体" w:hAnsi="方正小标宋简体" w:eastAsia="方正小标宋简体" w:cs="Times New Roman"/>
      <w:kern w:val="44"/>
      <w:sz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7">
    <w:name w:val="列表段落1"/>
    <w:basedOn w:val="1"/>
    <w:autoRedefine/>
    <w:qFormat/>
    <w:uiPriority w:val="34"/>
    <w:pPr>
      <w:ind w:firstLine="420" w:firstLineChars="200"/>
    </w:pPr>
  </w:style>
  <w:style w:type="character" w:customStyle="1" w:styleId="8">
    <w:name w:val="页眉 字符"/>
    <w:basedOn w:val="6"/>
    <w:link w:val="4"/>
    <w:autoRedefine/>
    <w:qFormat/>
    <w:uiPriority w:val="99"/>
    <w:rPr>
      <w:sz w:val="18"/>
      <w:szCs w:val="18"/>
    </w:rPr>
  </w:style>
  <w:style w:type="character" w:customStyle="1" w:styleId="9">
    <w:name w:val="页脚 字符"/>
    <w:basedOn w:val="6"/>
    <w:link w:val="3"/>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Home</Company>
  <Pages>3</Pages>
  <Words>1099</Words>
  <Characters>1135</Characters>
  <Lines>8</Lines>
  <Paragraphs>2</Paragraphs>
  <TotalTime>2</TotalTime>
  <ScaleCrop>false</ScaleCrop>
  <LinksUpToDate>false</LinksUpToDate>
  <CharactersWithSpaces>1158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2025-06-04T08:07:00Z</dcterms:created>
  <dc:creator>User</dc:creator>
  <cp:lastModifiedBy>李娟</cp:lastModifiedBy>
  <cp:lastPrinted>2024-04-26T08:02:00Z</cp:lastPrinted>
  <dcterms:modified xsi:type="dcterms:W3CDTF">2025-06-04T08:14:39Z</dcterms:modified>
  <dc:title>附件1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309CD6ADEF524D309BC6C7DC9A3D51A3_13</vt:lpwstr>
  </property>
  <property fmtid="{D5CDD505-2E9C-101B-9397-08002B2CF9AE}" pid="4" name="KSOTemplateDocerSaveRecord">
    <vt:lpwstr>eyJoZGlkIjoiNjFhY2JhNjQwMTY1ODk0MDY2OGQyZDhmYmMzYjE3NTQiLCJ1c2VySWQiOiIxMDg3MjQ5NDg4In0=</vt:lpwstr>
  </property>
</Properties>
</file>