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仿宋" w:hAnsi="仿宋" w:eastAsia="仿宋" w:cs="仿宋"/>
          <w:color w:val="auto"/>
          <w:sz w:val="32"/>
          <w:szCs w:val="32"/>
        </w:rPr>
        <w:instrText xml:space="preserve">ADDIN CNKISM.UserStyle</w:instrTex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附件1</w:t>
      </w:r>
    </w:p>
    <w:p>
      <w:pPr>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外国语学院硕士生导师岗位资格年审</w:t>
      </w:r>
    </w:p>
    <w:p>
      <w:pPr>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实施细则</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根据贵州大学研究生院《</w:t>
      </w:r>
      <w:r>
        <w:rPr>
          <w:rFonts w:hint="eastAsia" w:ascii="仿宋" w:hAnsi="仿宋" w:eastAsia="仿宋" w:cs="仿宋"/>
          <w:sz w:val="32"/>
          <w:szCs w:val="32"/>
          <w:highlight w:val="none"/>
        </w:rPr>
        <w:t>关于开展202</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eastAsia="zh-CN"/>
        </w:rPr>
        <w:t>度硕士</w:t>
      </w:r>
      <w:r>
        <w:rPr>
          <w:rFonts w:hint="eastAsia" w:ascii="仿宋" w:hAnsi="仿宋" w:eastAsia="仿宋" w:cs="仿宋"/>
          <w:sz w:val="32"/>
          <w:szCs w:val="32"/>
          <w:highlight w:val="none"/>
        </w:rPr>
        <w:t>研究生导师资格</w:t>
      </w:r>
      <w:r>
        <w:rPr>
          <w:rFonts w:hint="eastAsia" w:ascii="仿宋" w:hAnsi="仿宋" w:eastAsia="仿宋" w:cs="仿宋"/>
          <w:sz w:val="32"/>
          <w:szCs w:val="32"/>
          <w:highlight w:val="none"/>
          <w:lang w:eastAsia="zh-CN"/>
        </w:rPr>
        <w:t>审核</w:t>
      </w:r>
      <w:r>
        <w:rPr>
          <w:rFonts w:hint="eastAsia" w:ascii="仿宋" w:hAnsi="仿宋" w:eastAsia="仿宋" w:cs="仿宋"/>
          <w:sz w:val="32"/>
          <w:szCs w:val="32"/>
          <w:highlight w:val="none"/>
        </w:rPr>
        <w:t>工作的通知</w:t>
      </w:r>
      <w:r>
        <w:rPr>
          <w:rFonts w:hint="eastAsia" w:ascii="仿宋" w:hAnsi="仿宋" w:eastAsia="仿宋" w:cs="仿宋"/>
          <w:color w:val="auto"/>
          <w:sz w:val="32"/>
          <w:szCs w:val="32"/>
        </w:rPr>
        <w:t>》（</w:t>
      </w:r>
      <w:r>
        <w:rPr>
          <w:rFonts w:hint="eastAsia" w:ascii="仿宋" w:hAnsi="仿宋" w:eastAsia="仿宋" w:cs="仿宋"/>
          <w:sz w:val="32"/>
          <w:szCs w:val="32"/>
          <w:highlight w:val="none"/>
        </w:rPr>
        <w:t>贵大研【20</w:t>
      </w:r>
      <w:r>
        <w:rPr>
          <w:rFonts w:hint="eastAsia" w:ascii="仿宋" w:hAnsi="仿宋" w:eastAsia="仿宋" w:cs="仿宋"/>
          <w:sz w:val="32"/>
          <w:szCs w:val="32"/>
          <w:highlight w:val="none"/>
          <w:lang w:val="en-US" w:eastAsia="zh-CN"/>
        </w:rPr>
        <w:t>24</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14</w:t>
      </w:r>
      <w:r>
        <w:rPr>
          <w:rFonts w:hint="eastAsia" w:ascii="仿宋" w:hAnsi="仿宋" w:eastAsia="仿宋" w:cs="仿宋"/>
          <w:sz w:val="32"/>
          <w:szCs w:val="32"/>
          <w:highlight w:val="none"/>
        </w:rPr>
        <w:t>号</w:t>
      </w:r>
      <w:r>
        <w:rPr>
          <w:rFonts w:hint="eastAsia" w:ascii="仿宋" w:hAnsi="仿宋" w:eastAsia="仿宋" w:cs="仿宋"/>
          <w:color w:val="auto"/>
          <w:sz w:val="32"/>
          <w:szCs w:val="32"/>
        </w:rPr>
        <w:t>）文件的精神和要求，我院硕士生导师实行资格年审制。现结合我院实际情况，制定如下硕士生导师招生资格年审实施细则。</w:t>
      </w:r>
    </w:p>
    <w:p>
      <w:pPr>
        <w:pStyle w:val="7"/>
        <w:numPr>
          <w:ilvl w:val="0"/>
          <w:numId w:val="1"/>
        </w:numPr>
        <w:ind w:firstLineChars="0"/>
        <w:rPr>
          <w:rFonts w:hint="eastAsia" w:ascii="仿宋" w:hAnsi="仿宋" w:eastAsia="仿宋" w:cs="仿宋"/>
          <w:b/>
          <w:bCs/>
          <w:color w:val="auto"/>
          <w:sz w:val="32"/>
          <w:szCs w:val="32"/>
        </w:rPr>
      </w:pPr>
      <w:r>
        <w:rPr>
          <w:rFonts w:hint="eastAsia" w:ascii="仿宋" w:hAnsi="仿宋" w:eastAsia="仿宋" w:cs="仿宋"/>
          <w:b/>
          <w:bCs/>
          <w:color w:val="auto"/>
          <w:sz w:val="32"/>
          <w:szCs w:val="32"/>
        </w:rPr>
        <w:t>岗位基本要求</w:t>
      </w:r>
    </w:p>
    <w:p>
      <w:pPr>
        <w:numPr>
          <w:ilvl w:val="0"/>
          <w:numId w:val="0"/>
        </w:num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 xml:space="preserve">   （一）研究生导师应坚持以习近平新时代中国特色社会主义思想为指导，拥护中国共产党的领导，贯彻党的教育方针。导师作为研究生培养的第一责任人，肩负着为党育人、为国育才的重要使命，具备对研究生进行思想政治教育、学术规范训练、创新能力培养、社会实践引导等基本导师能力</w:t>
      </w:r>
      <w:r>
        <w:rPr>
          <w:rFonts w:hint="eastAsia" w:ascii="仿宋" w:hAnsi="仿宋" w:eastAsia="仿宋" w:cs="仿宋"/>
          <w:color w:val="auto"/>
          <w:sz w:val="32"/>
          <w:szCs w:val="32"/>
        </w:rPr>
        <w:t>。</w:t>
      </w:r>
    </w:p>
    <w:p>
      <w:pPr>
        <w:numPr>
          <w:ilvl w:val="0"/>
          <w:numId w:val="0"/>
        </w:numPr>
        <w:rPr>
          <w:rFonts w:hint="eastAsia" w:ascii="仿宋" w:hAnsi="仿宋" w:eastAsia="仿宋" w:cs="仿宋"/>
          <w:color w:val="auto"/>
          <w:sz w:val="32"/>
          <w:szCs w:val="32"/>
        </w:rPr>
      </w:pPr>
      <w:r>
        <w:rPr>
          <w:rFonts w:hint="eastAsia" w:ascii="仿宋" w:hAnsi="仿宋" w:eastAsia="仿宋" w:cs="仿宋"/>
          <w:color w:val="auto"/>
          <w:sz w:val="32"/>
          <w:szCs w:val="32"/>
          <w:highlight w:val="none"/>
          <w:lang w:val="en-US" w:eastAsia="zh-CN"/>
        </w:rPr>
        <w:t xml:space="preserve">   （二）近三年在</w:t>
      </w:r>
      <w:r>
        <w:rPr>
          <w:rFonts w:hint="eastAsia" w:ascii="仿宋" w:hAnsi="仿宋" w:eastAsia="仿宋" w:cs="仿宋"/>
          <w:color w:val="auto"/>
          <w:sz w:val="32"/>
          <w:szCs w:val="32"/>
          <w:highlight w:val="none"/>
          <w:lang w:eastAsia="zh-CN"/>
        </w:rPr>
        <w:t>拟</w:t>
      </w:r>
      <w:r>
        <w:rPr>
          <w:rFonts w:hint="eastAsia" w:ascii="仿宋" w:hAnsi="仿宋" w:eastAsia="仿宋" w:cs="仿宋"/>
          <w:color w:val="auto"/>
          <w:sz w:val="32"/>
          <w:szCs w:val="32"/>
          <w:highlight w:val="none"/>
          <w:lang w:val="en-US" w:eastAsia="zh-CN"/>
        </w:rPr>
        <w:t>申请岗位</w:t>
      </w:r>
      <w:r>
        <w:rPr>
          <w:rFonts w:hint="eastAsia" w:ascii="仿宋" w:hAnsi="仿宋" w:eastAsia="仿宋" w:cs="仿宋"/>
          <w:color w:val="auto"/>
          <w:sz w:val="32"/>
          <w:szCs w:val="32"/>
          <w:highlight w:val="none"/>
          <w:lang w:eastAsia="zh-CN"/>
        </w:rPr>
        <w:t>学科</w:t>
      </w:r>
      <w:r>
        <w:rPr>
          <w:rFonts w:hint="eastAsia" w:ascii="仿宋" w:hAnsi="仿宋" w:eastAsia="仿宋" w:cs="仿宋"/>
          <w:color w:val="auto"/>
          <w:sz w:val="32"/>
          <w:szCs w:val="32"/>
          <w:highlight w:val="none"/>
          <w:lang w:val="en-US" w:eastAsia="zh-CN"/>
        </w:rPr>
        <w:t>或学位点</w:t>
      </w:r>
      <w:r>
        <w:rPr>
          <w:rFonts w:hint="eastAsia" w:ascii="仿宋" w:hAnsi="仿宋" w:eastAsia="仿宋" w:cs="仿宋"/>
          <w:color w:val="auto"/>
          <w:sz w:val="32"/>
          <w:szCs w:val="32"/>
          <w:highlight w:val="none"/>
        </w:rPr>
        <w:t>指导的研究生学位论文未出现质量问题</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未出现教学、科研、意识形态等方面事故。</w:t>
      </w:r>
    </w:p>
    <w:p>
      <w:pPr>
        <w:ind w:firstLine="160" w:firstLineChars="5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三</w:t>
      </w:r>
      <w:r>
        <w:rPr>
          <w:rFonts w:hint="eastAsia" w:ascii="仿宋" w:hAnsi="仿宋" w:eastAsia="仿宋" w:cs="仿宋"/>
          <w:color w:val="auto"/>
          <w:sz w:val="32"/>
          <w:szCs w:val="32"/>
        </w:rPr>
        <w:t>）符合下列条件</w:t>
      </w:r>
      <w:r>
        <w:rPr>
          <w:rFonts w:hint="eastAsia" w:ascii="仿宋" w:hAnsi="仿宋" w:eastAsia="仿宋" w:cs="仿宋"/>
          <w:color w:val="auto"/>
          <w:sz w:val="32"/>
          <w:szCs w:val="32"/>
          <w:lang w:val="en-US" w:eastAsia="zh-CN"/>
        </w:rPr>
        <w:t>的导师均可进行硕导岗位申请</w:t>
      </w:r>
      <w:r>
        <w:rPr>
          <w:rFonts w:hint="eastAsia" w:ascii="仿宋" w:hAnsi="仿宋" w:eastAsia="仿宋" w:cs="仿宋"/>
          <w:color w:val="auto"/>
          <w:sz w:val="32"/>
          <w:szCs w:val="32"/>
        </w:rPr>
        <w:t>：</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1. 具有副高及以上职称</w:t>
      </w:r>
      <w:r>
        <w:rPr>
          <w:rFonts w:hint="eastAsia" w:ascii="仿宋" w:hAnsi="仿宋" w:eastAsia="仿宋" w:cs="仿宋"/>
          <w:color w:val="auto"/>
          <w:sz w:val="32"/>
          <w:szCs w:val="32"/>
          <w:lang w:eastAsia="zh-CN"/>
        </w:rPr>
        <w:t>（包括一流学科特岗人才、享受校聘副教授待遇不超过</w:t>
      </w:r>
      <w:r>
        <w:rPr>
          <w:rFonts w:hint="eastAsia" w:ascii="仿宋" w:hAnsi="仿宋" w:eastAsia="仿宋" w:cs="仿宋"/>
          <w:color w:val="auto"/>
          <w:sz w:val="32"/>
          <w:szCs w:val="32"/>
          <w:lang w:val="en-US" w:eastAsia="zh-CN"/>
        </w:rPr>
        <w:t>3年（含）的教师</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2. 近三年以第一作者</w:t>
      </w:r>
      <w:r>
        <w:rPr>
          <w:rFonts w:hint="eastAsia" w:ascii="仿宋" w:hAnsi="仿宋" w:eastAsia="仿宋" w:cs="仿宋"/>
          <w:color w:val="auto"/>
          <w:sz w:val="32"/>
          <w:szCs w:val="32"/>
          <w:lang w:val="en-US" w:eastAsia="zh-CN"/>
        </w:rPr>
        <w:t>或通讯作者</w:t>
      </w:r>
      <w:r>
        <w:rPr>
          <w:rFonts w:hint="eastAsia" w:ascii="仿宋" w:hAnsi="仿宋" w:eastAsia="仿宋" w:cs="仿宋"/>
          <w:color w:val="auto"/>
          <w:sz w:val="32"/>
          <w:szCs w:val="32"/>
        </w:rPr>
        <w:t>在</w:t>
      </w:r>
      <w:r>
        <w:rPr>
          <w:rFonts w:hint="eastAsia" w:ascii="仿宋" w:hAnsi="仿宋" w:eastAsia="仿宋" w:cs="仿宋"/>
          <w:color w:val="auto"/>
          <w:sz w:val="32"/>
          <w:szCs w:val="32"/>
          <w:lang w:val="en-US" w:eastAsia="zh-CN"/>
        </w:rPr>
        <w:t>SCD/SCDW来源期刊数据库收录刊物上发表与专业相关学术论文2篇</w:t>
      </w:r>
      <w:r>
        <w:rPr>
          <w:rFonts w:hint="eastAsia" w:ascii="仿宋" w:hAnsi="仿宋" w:eastAsia="仿宋" w:cs="仿宋"/>
          <w:color w:val="auto"/>
          <w:sz w:val="32"/>
          <w:szCs w:val="32"/>
        </w:rPr>
        <w:t>；或核心期刊1篇；或独立/以第一作者出版专著/译著（不少于15万字）至少1部；或主编出版国家级规划教材至少1部。</w:t>
      </w:r>
    </w:p>
    <w:p>
      <w:pPr>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3. 近三年主持校级及以上课题，并有在研课题</w:t>
      </w:r>
      <w:r>
        <w:rPr>
          <w:rFonts w:hint="eastAsia" w:ascii="仿宋" w:hAnsi="仿宋" w:eastAsia="仿宋" w:cs="仿宋"/>
          <w:color w:val="auto"/>
          <w:sz w:val="32"/>
          <w:szCs w:val="32"/>
          <w:lang w:eastAsia="zh-CN"/>
        </w:rPr>
        <w:t>。</w:t>
      </w:r>
    </w:p>
    <w:p>
      <w:pPr>
        <w:ind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满足以下条件之一的导师，学术型硕导可在1个一级学科硕士授权点下的2个二级学科/方向申请硕导岗位，专业型硕导可在1个专业硕士学位类别下的2个领域申请硕导岗位：</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 xml:space="preserve">1. </w:t>
      </w:r>
      <w:r>
        <w:rPr>
          <w:rFonts w:hint="eastAsia" w:ascii="仿宋" w:hAnsi="仿宋" w:eastAsia="仿宋" w:cs="仿宋"/>
          <w:color w:val="auto"/>
          <w:sz w:val="32"/>
          <w:szCs w:val="32"/>
          <w:lang w:val="en-US" w:eastAsia="zh-CN"/>
        </w:rPr>
        <w:t>近三年，第一作者或第一通讯作者发表C刊（不含扩展版）、SSCI论文（只认可发表在CNS和中国社会科学的论文中排名靠后共同通讯作者/共同一作）</w:t>
      </w:r>
      <w:r>
        <w:rPr>
          <w:rFonts w:hint="eastAsia" w:ascii="仿宋" w:hAnsi="仿宋" w:eastAsia="仿宋" w:cs="仿宋"/>
          <w:color w:val="auto"/>
          <w:sz w:val="32"/>
          <w:szCs w:val="32"/>
        </w:rPr>
        <w:t>。</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2</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主持并在研国家社科基金及以上的国家级项目</w:t>
      </w:r>
      <w:r>
        <w:rPr>
          <w:rFonts w:hint="eastAsia" w:ascii="仿宋" w:hAnsi="仿宋" w:eastAsia="仿宋" w:cs="仿宋"/>
          <w:color w:val="auto"/>
          <w:sz w:val="32"/>
          <w:szCs w:val="32"/>
        </w:rPr>
        <w:t>。</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3</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作为排名第一的指导教师，指导学生参加“挑战杯”、“互联网+”、“研究生创新系列大赛”以及教育部认可的全国普通高校大学生竞赛榜单中竞赛并获国家级二等奖及以上奖项</w:t>
      </w:r>
      <w:r>
        <w:rPr>
          <w:rFonts w:hint="eastAsia" w:ascii="仿宋" w:hAnsi="仿宋" w:eastAsia="仿宋" w:cs="仿宋"/>
          <w:color w:val="auto"/>
          <w:sz w:val="32"/>
          <w:szCs w:val="32"/>
        </w:rPr>
        <w:t>。</w:t>
      </w:r>
    </w:p>
    <w:p>
      <w:pPr>
        <w:rPr>
          <w:rFonts w:hint="eastAsia" w:ascii="仿宋" w:hAnsi="仿宋" w:eastAsia="仿宋" w:cs="仿宋"/>
          <w:b/>
          <w:bCs/>
          <w:color w:val="auto"/>
          <w:sz w:val="32"/>
          <w:szCs w:val="32"/>
        </w:rPr>
      </w:pPr>
      <w:r>
        <w:rPr>
          <w:rFonts w:hint="eastAsia" w:ascii="仿宋" w:hAnsi="仿宋" w:eastAsia="仿宋" w:cs="仿宋"/>
          <w:b/>
          <w:bCs/>
          <w:color w:val="auto"/>
          <w:sz w:val="32"/>
          <w:szCs w:val="32"/>
        </w:rPr>
        <w:t>二、工作程序</w:t>
      </w:r>
    </w:p>
    <w:p>
      <w:pPr>
        <w:rPr>
          <w:rFonts w:hint="eastAsia" w:ascii="仿宋" w:hAnsi="仿宋" w:eastAsia="仿宋" w:cs="仿宋"/>
          <w:color w:val="auto"/>
          <w:sz w:val="32"/>
          <w:szCs w:val="32"/>
        </w:rPr>
      </w:pP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（一）学院根据学校要求每年发布硕士生导师岗位条件、实施细则及启动申报通知。</w:t>
      </w:r>
    </w:p>
    <w:p>
      <w:pPr>
        <w:autoSpaceDN w:val="0"/>
        <w:spacing w:line="360" w:lineRule="auto"/>
        <w:ind w:firstLine="160" w:firstLineChars="5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（二）</w:t>
      </w:r>
      <w:r>
        <w:rPr>
          <w:rFonts w:hint="eastAsia" w:ascii="仿宋" w:hAnsi="仿宋" w:eastAsia="仿宋" w:cs="仿宋"/>
          <w:color w:val="auto"/>
          <w:sz w:val="32"/>
          <w:szCs w:val="32"/>
        </w:rPr>
        <w:t>申请人须每年根据通知要求向</w:t>
      </w:r>
      <w:r>
        <w:rPr>
          <w:rFonts w:hint="eastAsia" w:ascii="仿宋" w:hAnsi="仿宋" w:eastAsia="仿宋" w:cs="仿宋"/>
          <w:color w:val="auto"/>
          <w:sz w:val="32"/>
          <w:szCs w:val="32"/>
        </w:rPr>
        <w:t>学院研究生科</w:t>
      </w:r>
      <w:r>
        <w:rPr>
          <w:rFonts w:hint="eastAsia" w:ascii="仿宋" w:hAnsi="仿宋" w:eastAsia="仿宋" w:cs="仿宋"/>
          <w:color w:val="auto"/>
          <w:sz w:val="32"/>
          <w:szCs w:val="32"/>
        </w:rPr>
        <w:t>提出申请，提供支撑材料</w:t>
      </w:r>
      <w:r>
        <w:rPr>
          <w:rFonts w:hint="eastAsia" w:ascii="仿宋" w:hAnsi="仿宋" w:eastAsia="仿宋" w:cs="仿宋"/>
          <w:color w:val="auto"/>
          <w:sz w:val="32"/>
          <w:szCs w:val="32"/>
        </w:rPr>
        <w:t>由学院硕士点建设工作领导小组审核，提交学位评定分委员会表决，学院对表决结果进行公示（不少于3个工作日），无异议后汇总上报校研究生院学科建设办公室备案，支撑材料由学院研究生科保存备查。</w:t>
      </w:r>
    </w:p>
    <w:p>
      <w:pPr>
        <w:autoSpaceDN w:val="0"/>
        <w:spacing w:line="360" w:lineRule="auto"/>
        <w:ind w:firstLine="160" w:firstLineChars="50"/>
        <w:rPr>
          <w:rFonts w:hint="eastAsia" w:ascii="仿宋" w:hAnsi="仿宋" w:eastAsia="仿宋" w:cs="仿宋"/>
          <w:color w:val="auto"/>
          <w:sz w:val="32"/>
          <w:szCs w:val="32"/>
        </w:rPr>
      </w:pPr>
      <w:r>
        <w:rPr>
          <w:rFonts w:hint="eastAsia" w:ascii="仿宋" w:hAnsi="仿宋" w:eastAsia="仿宋" w:cs="仿宋"/>
          <w:color w:val="auto"/>
          <w:sz w:val="32"/>
          <w:szCs w:val="32"/>
        </w:rPr>
        <w:t>三、其他说明</w:t>
      </w:r>
    </w:p>
    <w:p>
      <w:pPr>
        <w:autoSpaceDN w:val="0"/>
        <w:spacing w:line="360" w:lineRule="auto"/>
        <w:ind w:firstLine="160" w:firstLineChars="5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（一）申请人如在申请过程中提供虚假信息，一经查实，取消其导师岗位申请资格，5年内不得再申请。</w:t>
      </w:r>
    </w:p>
    <w:p>
      <w:pPr>
        <w:autoSpaceDN w:val="0"/>
        <w:spacing w:line="360" w:lineRule="auto"/>
        <w:ind w:firstLine="160" w:firstLineChars="5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（二）20</w:t>
      </w:r>
      <w:r>
        <w:rPr>
          <w:rFonts w:hint="eastAsia" w:ascii="仿宋" w:hAnsi="仿宋" w:eastAsia="仿宋" w:cs="仿宋"/>
          <w:color w:val="auto"/>
          <w:sz w:val="32"/>
          <w:szCs w:val="32"/>
          <w:lang w:val="en-US" w:eastAsia="zh-CN"/>
        </w:rPr>
        <w:t>23</w:t>
      </w:r>
      <w:r>
        <w:rPr>
          <w:rFonts w:hint="eastAsia" w:ascii="仿宋" w:hAnsi="仿宋" w:eastAsia="仿宋" w:cs="仿宋"/>
          <w:color w:val="auto"/>
          <w:sz w:val="32"/>
          <w:szCs w:val="32"/>
        </w:rPr>
        <w:t>年已遴选并通过外国语言文学一级学科硕士点、翻译硕士专业学位硕士点和汉语国际教育专业学位硕士点的硕导，在申请202</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年硕士生导师招生资格时，视为满足基本条件。该项规定仅在202</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年招生资格年审工作中有效。</w:t>
      </w:r>
    </w:p>
    <w:p>
      <w:pPr>
        <w:rPr>
          <w:rFonts w:hint="eastAsia" w:ascii="仿宋" w:hAnsi="仿宋" w:eastAsia="仿宋" w:cs="仿宋"/>
          <w:color w:val="auto"/>
          <w:sz w:val="32"/>
          <w:szCs w:val="32"/>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C95F88"/>
    <w:multiLevelType w:val="multilevel"/>
    <w:tmpl w:val="63C95F8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ZDE2NzhmMDQxMjRiZjczZGI1NWFhZmI4YWNjODg4ZjEifQ=="/>
  </w:docVars>
  <w:rsids>
    <w:rsidRoot w:val="008A40D8"/>
    <w:rsid w:val="00076A0A"/>
    <w:rsid w:val="00091FA4"/>
    <w:rsid w:val="000C113F"/>
    <w:rsid w:val="001015AC"/>
    <w:rsid w:val="00103CD6"/>
    <w:rsid w:val="001136B9"/>
    <w:rsid w:val="00221D95"/>
    <w:rsid w:val="003D4CA8"/>
    <w:rsid w:val="0043798A"/>
    <w:rsid w:val="0057284F"/>
    <w:rsid w:val="005B6990"/>
    <w:rsid w:val="0062562D"/>
    <w:rsid w:val="006670A1"/>
    <w:rsid w:val="00671CFC"/>
    <w:rsid w:val="00715241"/>
    <w:rsid w:val="00760948"/>
    <w:rsid w:val="007916E2"/>
    <w:rsid w:val="00863186"/>
    <w:rsid w:val="008A40D8"/>
    <w:rsid w:val="008A7BD9"/>
    <w:rsid w:val="00913910"/>
    <w:rsid w:val="009E662A"/>
    <w:rsid w:val="00C23607"/>
    <w:rsid w:val="00F87233"/>
    <w:rsid w:val="077566D6"/>
    <w:rsid w:val="08283748"/>
    <w:rsid w:val="0B7A250D"/>
    <w:rsid w:val="0CB53638"/>
    <w:rsid w:val="0DFE5677"/>
    <w:rsid w:val="10AD26CB"/>
    <w:rsid w:val="131D659F"/>
    <w:rsid w:val="1DE20ECA"/>
    <w:rsid w:val="1F674C92"/>
    <w:rsid w:val="232632B5"/>
    <w:rsid w:val="2A3C6EB3"/>
    <w:rsid w:val="2E5047F0"/>
    <w:rsid w:val="2EC94505"/>
    <w:rsid w:val="31437F61"/>
    <w:rsid w:val="351D5B33"/>
    <w:rsid w:val="354E3F3E"/>
    <w:rsid w:val="37A421DA"/>
    <w:rsid w:val="38B575D1"/>
    <w:rsid w:val="39276F80"/>
    <w:rsid w:val="39D90BF4"/>
    <w:rsid w:val="3A0948D8"/>
    <w:rsid w:val="3AB26D1E"/>
    <w:rsid w:val="3AEB408E"/>
    <w:rsid w:val="3B90766A"/>
    <w:rsid w:val="3ED84555"/>
    <w:rsid w:val="40427263"/>
    <w:rsid w:val="428D02FD"/>
    <w:rsid w:val="42DA62DA"/>
    <w:rsid w:val="455B61C0"/>
    <w:rsid w:val="45A04342"/>
    <w:rsid w:val="46195760"/>
    <w:rsid w:val="48026EFD"/>
    <w:rsid w:val="4C0B0F4F"/>
    <w:rsid w:val="4CC306FE"/>
    <w:rsid w:val="51195142"/>
    <w:rsid w:val="51314791"/>
    <w:rsid w:val="5A865DA5"/>
    <w:rsid w:val="5BBE50CA"/>
    <w:rsid w:val="62764951"/>
    <w:rsid w:val="65305110"/>
    <w:rsid w:val="6AF503DD"/>
    <w:rsid w:val="6B78718F"/>
    <w:rsid w:val="6DA73C10"/>
    <w:rsid w:val="707F2C23"/>
    <w:rsid w:val="720365B5"/>
    <w:rsid w:val="73EB3CBA"/>
    <w:rsid w:val="76A209B0"/>
    <w:rsid w:val="773109EF"/>
    <w:rsid w:val="77BD1E69"/>
    <w:rsid w:val="77C32BA6"/>
    <w:rsid w:val="78B90C9C"/>
    <w:rsid w:val="7F0936F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autoRedefine/>
    <w:qFormat/>
    <w:uiPriority w:val="9"/>
    <w:pPr>
      <w:keepNext/>
      <w:keepLines/>
      <w:spacing w:beforeLines="0" w:beforeAutospacing="0" w:afterLines="0" w:afterAutospacing="0" w:line="720" w:lineRule="exact"/>
      <w:ind w:firstLine="0" w:firstLineChars="0"/>
      <w:jc w:val="center"/>
      <w:outlineLvl w:val="0"/>
    </w:pPr>
    <w:rPr>
      <w:rFonts w:ascii="方正小标宋简体" w:hAnsi="方正小标宋简体" w:eastAsia="方正小标宋简体" w:cs="Times New Roman"/>
      <w:kern w:val="44"/>
      <w:sz w:val="44"/>
    </w:rPr>
  </w:style>
  <w:style w:type="character" w:default="1" w:styleId="6">
    <w:name w:val="Default Paragraph Font"/>
    <w:autoRedefine/>
    <w:unhideWhenUsed/>
    <w:qFormat/>
    <w:uiPriority w:val="1"/>
  </w:style>
  <w:style w:type="table" w:default="1" w:styleId="5">
    <w:name w:val="Normal Table"/>
    <w:autoRedefine/>
    <w:unhideWhenUsed/>
    <w:qFormat/>
    <w:uiPriority w:val="99"/>
    <w:tblPr>
      <w:tblCellMar>
        <w:top w:w="0" w:type="dxa"/>
        <w:left w:w="108" w:type="dxa"/>
        <w:bottom w:w="0" w:type="dxa"/>
        <w:right w:w="108" w:type="dxa"/>
      </w:tblCellMar>
    </w:tbl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List Paragraph"/>
    <w:basedOn w:val="1"/>
    <w:autoRedefine/>
    <w:qFormat/>
    <w:uiPriority w:val="34"/>
    <w:pPr>
      <w:ind w:firstLine="420" w:firstLineChars="200"/>
    </w:pPr>
  </w:style>
  <w:style w:type="character" w:customStyle="1" w:styleId="8">
    <w:name w:val="页眉 Char"/>
    <w:basedOn w:val="6"/>
    <w:link w:val="4"/>
    <w:autoRedefine/>
    <w:qFormat/>
    <w:uiPriority w:val="99"/>
    <w:rPr>
      <w:sz w:val="18"/>
      <w:szCs w:val="18"/>
    </w:rPr>
  </w:style>
  <w:style w:type="character" w:customStyle="1" w:styleId="9">
    <w:name w:val="页脚 Char"/>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2</Pages>
  <Words>821</Words>
  <Characters>851</Characters>
  <Lines>4</Lines>
  <Paragraphs>1</Paragraphs>
  <TotalTime>5</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2018-07-16T09:03:00Z</dcterms:created>
  <dc:creator>User</dc:creator>
  <cp:lastModifiedBy>Lenovo</cp:lastModifiedBy>
  <cp:lastPrinted>2024-04-19T07:46:21Z</cp:lastPrinted>
  <dcterms:modified xsi:type="dcterms:W3CDTF">2024-04-19T08:43:21Z</dcterms:modified>
  <dc:title>附件1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6CC7EA40D87943C198A6EF44FF15CF70_12</vt:lpwstr>
  </property>
</Properties>
</file>